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du professionnel</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De nature sexuelle hors pratique professionnelle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Psychiatre, a centré ses consultations sur la vie sexuelle de ses deux patientes et de celle de ses proches, leur suggérant de pratiquer une sexualité libérée des tabous et même de se prostituer. Si aucune preuve matérielle des dires des plaignantes n'a été apportée, leur vraisemblance est confortée par le contenu d'un blog à connotation sexuelle et pornographique, tenu par le praticien, ainsi que par les doléances de deux autres patientes adressées au conseil départemental. La circonstance que les plaintes pénales des intéressées ont été classées sans suite est sans incidence sur la validité des poursuites disciplinaires qui n'ont ni le même objet, ni le même fondement. Le caractère «personnel» et non professionnel de son « blog » ne fait pas obstacle à ce que le juge disciplinaire en tienne compte, dès lors que, «même en dehors de l'exercice de sa profession», le médecin doit s'abstenir de tout acte de nature à la déconsidérer.</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24/01/2014</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11650</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Réformation</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1 an</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CD Ville de Paris</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Psychiatrie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Ile-de-France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13/04/2012</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3 mois d'interdiction, dont 2 mois avec sursis</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