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Psychiatre, ayant noué une relation intime avec une patiente et continué d’assurer son suivi psychothérapeutique durant cette relation alors qu’il connaissait ses difficultés psychiques et se trouvait à son égard dans la position d’autorité du psychiatre, a manqué aux principes de moralité, de probité et de dévouement, dont le respect s’impose au médecin en toutes circonstances, prévus par l’article R. 4127-3 du CSP. A également manqué à son obligation déontologique de ne pas déconsidérer sa profession issue de l’article R. 4117-31 du CSP, le praticien qui a, au cours d’une vive querelle, bousculé et giflé sa patiente.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 w:rsidR="00681D64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article code santé publique (déontologie) 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3,31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17/04/2018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13332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Rejet</w:instrText>
      </w:r>
      <w:r w:rsidRPr="00137EEC">
        <w:rPr>
          <w:rFonts w:ascii="Arial" w:cs="Arial" w:hAnsi="Arial"/>
          <w:sz w:val="22"/>
          <w:szCs w:val="22"/>
        </w:rPr>
        <w:instrText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2 an(s)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D87C3A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Sursis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1 an(s)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1E6747" w:rsidRDefault="00D87C3A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caps/>
          <w:color w:val="00A7AD"/>
          <w:sz w:val="22"/>
          <w:szCs w:val="22"/>
        </w:rPr>
        <w:t xml:space="preserve">PRECISION DU DISPOSITIF </w:t>
      </w: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Rejet de la requête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Conseil départemental de l'ordre des médecins de la Ville de Paris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Patient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Psychiatrie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B0696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>Localisation</w:t>
      </w:r>
      <w:r w:rsidR="00596008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Ile-de-France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26/08/2016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Interdiction temporaire d'exercer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</w:p>
    <w:p w:rsidP="00467EB1" w:rsidR="00E75A0D" w:rsidRDefault="005B024C" w:rsidRPr="00467EB1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color w:themeColor="text1" w:val="000000"/>
          <w:sz w:val="16"/>
        </w:rPr>
      </w:pPr>
      <w:r>
        <w:rPr>
          <w:rFonts w:ascii="Arial" w:cs="Arial" w:hAnsi="Arial"/>
          <w:caps/>
          <w:color w:val="00A7AD"/>
          <w:sz w:val="22"/>
          <w:szCs w:val="22"/>
        </w:rPr>
        <w:t>Commentaires</w: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="00E75A0D" w:rsidRPr="00467EB1">
        <w:rPr>
          <w:rFonts w:ascii="Arial" w:cs="Arial" w:hAnsi="Arial"/>
          <w:color w:themeColor="text1" w:val="000000"/>
          <w:sz w:val="22"/>
          <w:szCs w:val="20"/>
        </w:rPr>
        <w:instrText>2 ans dont 1 an avec sursis</w:instrTex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