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Procédure - Sanctions et peines</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Quantum</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Psychiatre a reçu en consultation une patiente pour des troubles paniques avec laquelle se sont progressivement instaurées des relations qualifiées par les deux d’amoureuses.</w:instrText>
      </w:r>
    </w:p>
    <w:p w:rsidP="00524F8D" w:rsidR="00681D64" w:rsidRDefault="00E75A0D">
      <w:pPr>
        <w:rPr>
          <w:rFonts w:ascii="Arial" w:cs="Arial" w:hAnsi="Arial"/>
          <w:caps/>
          <w:color w:val="00A7AD"/>
          <w:sz w:val="22"/>
          <w:szCs w:val="22"/>
        </w:rPr>
      </w:pPr>
      <w:r w:rsidRPr="00A84153">
        <w:rPr>
          <w:rFonts w:ascii="Arial" w:cs="Arial" w:hAnsi="Arial"/>
          <w:color w:themeColor="text1" w:val="000000"/>
          <w:sz w:val="22"/>
          <w:szCs w:val="22"/>
        </w:rPr>
        <w:instrText>Selon les dispositions des articles R. 4127-2, -3, -7 et -31 du CSP, un médecin, qui dispose nécessairement d’un ascendant sur ses patients, doit, par principe, dans le cadre de l’exercice de son activité, s’interdire à l’égard de ceux-ci toute forme de relations susceptibles d’affecter la qualité de sa prise en charge thérapeutique, et plus particulièrement toutes relations intimes de nature à être regardées comme méconnaissant le respect de la personne, de sa dignité ou les principes de moralité et de probité ou à déconsidérer la profession. Si de telles relations viennent à s’instaurer, il appartient au médecin d’orienter son patient vers un autre praticien.</w:instrText>
      </w:r>
    </w:p>
    <w:p w:rsidP="00524F8D" w:rsidR="00681D64" w:rsidRDefault="00E75A0D">
      <w:pPr>
        <w:rPr>
          <w:rFonts w:ascii="Arial" w:cs="Arial" w:hAnsi="Arial"/>
          <w:caps/>
          <w:color w:val="00A7AD"/>
          <w:sz w:val="22"/>
          <w:szCs w:val="22"/>
        </w:rPr>
      </w:pPr>
      <w:r w:rsidRPr="00A84153">
        <w:rPr>
          <w:rFonts w:ascii="Arial" w:cs="Arial" w:hAnsi="Arial"/>
          <w:color w:themeColor="text1" w:val="000000"/>
          <w:sz w:val="22"/>
          <w:szCs w:val="22"/>
        </w:rPr>
        <w:instrText>Le fait, pour le praticien, de reconnaitre avoir commis une erreur de diagnostic en ne percevant pas que sa patiente se trouvait atteinte, par-delà les troubles paniques, de troubles de la personnalité et était, dès lors, dans une situation de faiblesse plus marquée que ce qu’il avait estimé au départ, constitue un aveu de faute déontologique.</w:instrText>
      </w:r>
    </w:p>
    <w:p w:rsidP="00524F8D" w:rsidR="00681D64" w:rsidRDefault="00E75A0D">
      <w:pPr>
        <w:rPr>
          <w:rFonts w:ascii="Arial" w:cs="Arial" w:hAnsi="Arial"/>
          <w:caps/>
          <w:color w:val="00A7AD"/>
          <w:sz w:val="22"/>
          <w:szCs w:val="22"/>
        </w:rPr>
      </w:pPr>
      <w:r w:rsidRPr="00A84153">
        <w:rPr>
          <w:rFonts w:ascii="Arial" w:cs="Arial" w:hAnsi="Arial"/>
          <w:color w:themeColor="text1" w:val="000000"/>
          <w:sz w:val="22"/>
          <w:szCs w:val="22"/>
        </w:rPr>
        <w:instrText>La circonstance que la patiente ait été consentante aux relations ne saurait, eu égard précisément à son état de santé, exonérer le praticien des manquements relevés. Pas plus que le fait que le praticien était lui-même, à l’époque, surmené et dans un « désordre psychologique ».</w:instrText>
      </w:r>
    </w:p>
    <w:p w:rsidP="00524F8D" w:rsidR="00681D64" w:rsidRDefault="00E75A0D">
      <w:pPr>
        <w:rPr>
          <w:rFonts w:ascii="Arial" w:cs="Arial" w:hAnsi="Arial"/>
          <w:caps/>
          <w:color w:val="00A7AD"/>
          <w:sz w:val="22"/>
          <w:szCs w:val="22"/>
        </w:rPr>
      </w:pPr>
      <w:r w:rsidRPr="00A84153">
        <w:rPr>
          <w:rFonts w:ascii="Arial" w:cs="Arial" w:hAnsi="Arial"/>
          <w:color w:themeColor="text1" w:val="000000"/>
          <w:sz w:val="22"/>
          <w:szCs w:val="22"/>
        </w:rPr>
        <w:instrText>Toutefois, il doit être tenu compte, pour apprécier la sanction, de la réalité de l’orientation par le praticien vers un autre thérapeute, intervenue avant les premières relations intimes.</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sidR="00681D64">
        <w:rPr>
          <w:rFonts w:ascii="Arial" w:cs="Arial" w:hAnsi="Arial"/>
          <w:caps/>
          <w:color w:val="00A7AD"/>
          <w:sz w:val="22"/>
          <w:szCs w:val="22"/>
        </w:rPr>
        <w:br/>
      </w:r>
      <w:r w:rsidRPr="00A84153">
        <w:rPr>
          <w:rFonts w:ascii="Arial" w:cs="Arial" w:hAnsi="Arial"/>
          <w:caps/>
          <w:color w:val="00A7AD"/>
          <w:sz w:val="22"/>
          <w:szCs w:val="22"/>
        </w:rPr>
        <w:t xml:space="preserve">article code santé publique (déontologie) : </w:t>
      </w:r>
      <w:r w:rsidRPr="00A84153">
        <w:rPr>
          <w:rFonts w:ascii="Arial" w:cs="Arial" w:hAnsi="Arial"/>
          <w:color w:themeColor="text1" w:val="000000"/>
          <w:sz w:val="22"/>
          <w:szCs w:val="22"/>
        </w:rPr>
        <w:instrText>2,3,7,31</w:instrText>
      </w:r>
      <w:r w:rsidRPr="00A84153">
        <w:rPr>
          <w:rFonts w:ascii="Arial" w:cs="Arial" w:hAnsi="Arial"/>
          <w:caps/>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25/04/2017</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Type de documents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Décision</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12885</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Interdiction temporaire d'exercer</w:instrText>
      </w:r>
      <w:r w:rsidRPr="00137EEC">
        <w:rPr>
          <w:rFonts w:ascii="Arial" w:cs="Arial" w:hAnsi="Arial"/>
          <w:sz w:val="22"/>
          <w:szCs w:val="22"/>
        </w:rPr>
        <w:instrText/>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Réformation</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BB1667" w:rsidR="00137EEC"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Durée totale : </w:t>
      </w:r>
      <w:r w:rsidRPr="00137EEC">
        <w:rPr>
          <w:rFonts w:ascii="Arial" w:cs="Arial" w:hAnsi="Arial"/>
          <w:color w:themeColor="text1" w:val="000000"/>
          <w:sz w:val="22"/>
          <w:szCs w:val="22"/>
        </w:rPr>
        <w:instrText>2 mois</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D87C3A" w:rsidR="00D87C3A"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Sursis : </w:t>
      </w:r>
      <w:r w:rsidRPr="00137EEC">
        <w:rPr>
          <w:rFonts w:ascii="Arial" w:cs="Arial" w:hAnsi="Arial"/>
          <w:color w:themeColor="text1" w:val="000000"/>
          <w:sz w:val="22"/>
          <w:szCs w:val="22"/>
        </w:rPr>
        <w:instrText>1 mois</w:instrText>
      </w:r>
      <w:r w:rsidRPr="00137EEC">
        <w:rPr>
          <w:rFonts w:ascii="Arial" w:cs="Arial" w:hAnsi="Arial"/>
          <w:caps/>
          <w:color w:val="00A7AD"/>
          <w:sz w:val="22"/>
          <w:szCs w:val="22"/>
        </w:rPr>
        <w:instrText xml:space="preserve"/>
      </w:r>
      <w:r w:rsidR="00D87C3A" w:rsidRPr="00137EEC">
        <w:rPr>
          <w:rFonts w:ascii="Arial" w:cs="Arial" w:hAnsi="Arial"/>
          <w:color w:val="00A7AD"/>
          <w:sz w:val="22"/>
          <w:szCs w:val="22"/>
        </w:rPr>
        <w:instrText/>
      </w:r>
      <w:r w:rsidRPr="00137EEC">
        <w:rPr>
          <w:rFonts w:ascii="Arial" w:cs="Arial" w:hAnsi="Arial"/>
          <w:color w:val="00A7AD"/>
          <w:sz w:val="22"/>
          <w:szCs w:val="22"/>
        </w:rPr>
        <w:instrText/>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Partie dans l'affaire</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Conseil Départemental - Conseil départemental des Hauts-de-Seine de l'ordre des médecins</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B0696">
        <w:rPr>
          <w:rFonts w:ascii="Arial" w:cs="Arial" w:hAnsi="Arial"/>
          <w:caps/>
          <w:color w:val="00A7AD"/>
          <w:sz w:val="22"/>
          <w:szCs w:val="22"/>
        </w:rPr>
        <w:br/>
      </w:r>
      <w:r w:rsidRPr="00A84153">
        <w:rPr>
          <w:rFonts w:ascii="Arial" w:cs="Arial" w:hAnsi="Arial"/>
          <w:caps/>
          <w:color w:val="00A7AD"/>
          <w:sz w:val="22"/>
          <w:szCs w:val="22"/>
        </w:rPr>
        <w:t>Localisation</w:t>
      </w:r>
      <w:r w:rsidR="00596008">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Ile-de-France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21/07/2015</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Interdiction temporaire d'exercer</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p>
    <w:p w:rsidP="00467EB1" w:rsidR="00E75A0D" w:rsidRDefault="005B024C" w:rsidRPr="00467EB1">
      <w:pPr>
        <w:pStyle w:val="Paragraphestandard"/>
        <w:keepNext/>
        <w:keepLines/>
        <w:tabs>
          <w:tab w:pos="850" w:val="left"/>
        </w:tabs>
        <w:spacing w:after="40" w:line="240" w:lineRule="auto"/>
        <w:rPr>
          <w:rFonts w:ascii="Arial" w:cs="Arial" w:hAnsi="Arial"/>
          <w:color w:themeColor="text1" w:val="000000"/>
          <w:sz w:val="16"/>
        </w:rPr>
      </w:pPr>
      <w:r>
        <w:rPr>
          <w:rFonts w:ascii="Arial" w:cs="Arial" w:hAnsi="Arial"/>
          <w:caps/>
          <w:color w:val="00A7AD"/>
          <w:sz w:val="22"/>
          <w:szCs w:val="22"/>
        </w:rPr>
        <w:t>Commentaires</w:t>
      </w:r>
      <w:r w:rsidR="00E75A0D" w:rsidRPr="00467EB1">
        <w:rPr>
          <w:rFonts w:ascii="Arial" w:cs="Arial" w:hAnsi="Arial"/>
          <w:caps/>
          <w:color w:val="00A7AD"/>
          <w:sz w:val="22"/>
          <w:szCs w:val="22"/>
        </w:rPr>
        <w:t xml:space="preserve"> : </w:t>
      </w:r>
      <w:r w:rsidR="00E75A0D" w:rsidRPr="00467EB1">
        <w:rPr>
          <w:rFonts w:ascii="Arial" w:cs="Arial" w:hAnsi="Arial"/>
          <w:color w:themeColor="text1" w:val="000000"/>
          <w:sz w:val="22"/>
          <w:szCs w:val="20"/>
        </w:rPr>
        <w:instrText>2 mois</w:instrText>
      </w:r>
      <w:r w:rsidR="00E75A0D" w:rsidRPr="00467EB1">
        <w:rPr>
          <w:rFonts w:ascii="Arial" w:cs="Arial" w:hAnsi="Arial"/>
          <w:caps/>
          <w:color w:val="00A7AD"/>
          <w:sz w:val="22"/>
          <w:szCs w:val="22"/>
        </w:rPr>
        <w:instrText xml:space="preserve"/>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