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Un médecin, qui dispose nécessairement d’un ascendant sur ces patients, doit, par principe, dans le cadre de l’exercice de son activité, s’interdire à l’égard de ses patients toutes relations intimes de nature à être regardées comme méconnaissant le respect de la personne, de sa dignité ou les principes de moralité et de probité ou à déconsidérer la profession. Il en va ainsi tout particulièrement s’agissant de patients en état de fragilité psychologique, les relations intimes s’apparentant alors à un abus de faiblesse. Si de telles relations viennent à s’instaurer, il appartient au médecin d’orienter son patient vers un autre praticien.</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A noué une relation intime avec une consœur qu'il suivait médicalement à la suite de l’exérèse d’un méningiome rétro orbitaire. A poursuivi pendant près de trois ans cette relation alors que la patiente, qui présentait des troubles psychiatriques importants, se trouvait dans un état de fragilité psychologique, et, qu’en outre, il continuait d’assurer la prise en charge médicale de cette fragilité.</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681D64">
        <w:rPr>
          <w:rFonts w:ascii="Arial" w:cs="Arial" w:hAnsi="Arial"/>
          <w:caps/>
          <w:color w:val="00A7AD"/>
          <w:sz w:val="22"/>
          <w:szCs w:val="22"/>
        </w:rPr>
        <w:br/>
      </w:r>
      <w:r w:rsidRPr="00A84153">
        <w:rPr>
          <w:rFonts w:ascii="Arial" w:cs="Arial" w:hAnsi="Arial"/>
          <w:caps/>
          <w:color w:val="00A7AD"/>
          <w:sz w:val="22"/>
          <w:szCs w:val="22"/>
        </w:rPr>
        <w:t xml:space="preserve">Apport jurisprudentiel : </w:t>
      </w:r>
      <w:r w:rsidRPr="00A84153">
        <w:rPr>
          <w:rFonts w:ascii="Arial" w:cs="Arial" w:hAnsi="Arial"/>
          <w:color w:themeColor="text1" w:val="000000"/>
          <w:sz w:val="22"/>
          <w:szCs w:val="22"/>
        </w:rPr>
        <w:instrText>Intérêt de l'espèce</w:instrText>
      </w:r>
      <w:r w:rsidRPr="00A84153">
        <w:rPr>
          <w:rFonts w:ascii="Arial" w:cs="Arial" w:hAnsi="Arial"/>
          <w:caps/>
          <w:color w:val="00A7AD"/>
          <w:sz w:val="22"/>
          <w:szCs w:val="22"/>
        </w:rPr>
        <w:instrText xml:space="preserve"/>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12/11/2015</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12305</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Rejet</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3 mois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D87C3A" w:rsidR="00D87C3A"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Sursis : </w:t>
      </w:r>
      <w:r w:rsidRPr="00137EEC">
        <w:rPr>
          <w:rFonts w:ascii="Arial" w:cs="Arial" w:hAnsi="Arial"/>
          <w:color w:themeColor="text1" w:val="000000"/>
          <w:sz w:val="22"/>
          <w:szCs w:val="22"/>
        </w:rPr>
        <w:instrText>2 mois</w:instrText>
      </w:r>
      <w:r w:rsidRPr="00137EEC">
        <w:rPr>
          <w:rFonts w:ascii="Arial" w:cs="Arial" w:hAnsi="Arial"/>
          <w:caps/>
          <w:color w:val="00A7AD"/>
          <w:sz w:val="22"/>
          <w:szCs w:val="22"/>
        </w:rPr>
        <w:instrText xml:space="preserve"/>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CNOM - CNOM</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Neurologie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Neurologie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PACA-Corse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28/03/2014</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3 mois d'interdiction, dont 2 mois avec sursis</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p>
    <w:p w:rsidP="00524F8D" w:rsidR="00976AAA" w:rsidRDefault="00E75A0D">
      <w:pPr>
        <w:pStyle w:val="Paragraphestandard"/>
        <w:keepNext/>
        <w:keepLines/>
        <w:tabs>
          <w:tab w:pos="850" w:val="left"/>
        </w:tabs>
        <w:spacing w:after="40" w:line="240" w:lineRule="auto"/>
        <w:rPr>
          <w:rFonts w:ascii="Arial" w:cs="Arial" w:hAnsi="Arial"/>
          <w:sz w:val="22"/>
          <w:szCs w:val="22"/>
        </w:rPr>
      </w:pPr>
      <w:r w:rsidRPr="00B91517">
        <w:rPr>
          <w:rFonts w:ascii="Arial" w:cs="Arial" w:hAnsi="Arial"/>
          <w:caps/>
          <w:color w:val="004377"/>
          <w:sz w:val="22"/>
          <w:szCs w:val="22"/>
          <w:u w:val="single"/>
        </w:rPr>
        <w:t>Recours :</w:t>
      </w:r>
      <w:r w:rsidR="008D48C9" w:rsidRPr="008D48C9">
        <w:rPr>
          <w:rFonts w:ascii="Arial" w:cs="Arial" w:hAnsi="Arial"/>
          <w:caps/>
          <w:color w:val="00A7AD"/>
          <w:sz w:val="22"/>
          <w:szCs w:val="22"/>
        </w:rPr>
        <w:t xml:space="preserve"> </w:t>
      </w:r>
      <w:r w:rsidR="008D48C9" w:rsidRPr="00A84153">
        <w:rPr>
          <w:rFonts w:ascii="Arial" w:cs="Arial" w:hAnsi="Arial"/>
          <w:color w:val="00A7AD"/>
          <w:sz w:val="22"/>
          <w:szCs w:val="22"/>
        </w:rPr>
        <w:instrText/>
      </w:r>
      <w:r w:rsidR="008D48C9">
        <w:rPr>
          <w:rFonts w:ascii="Arial" w:cs="Arial" w:hAnsi="Arial"/>
          <w:caps/>
          <w:color w:val="00A7AD"/>
          <w:sz w:val="22"/>
          <w:szCs w:val="22"/>
        </w:rPr>
        <w:br/>
        <w:t xml:space="preserve">INSTANCE DE recours : </w:t>
      </w:r>
      <w:r w:rsidR="008D48C9" w:rsidRPr="00A84153">
        <w:rPr>
          <w:rFonts w:ascii="Arial" w:cs="Arial" w:hAnsi="Arial"/>
          <w:color w:themeColor="text1" w:val="000000"/>
          <w:sz w:val="22"/>
          <w:szCs w:val="20"/>
        </w:rPr>
        <w:instrText>Conseil d'Etat</w:instrText>
      </w:r>
      <w:r w:rsidR="008D48C9" w:rsidRPr="00A84153">
        <w:rPr>
          <w:rFonts w:ascii="Arial" w:cs="Arial" w:hAnsi="Arial"/>
          <w:caps/>
          <w:color w:val="00A7AD"/>
          <w:sz w:val="22"/>
          <w:szCs w:val="22"/>
        </w:rPr>
        <w:instrText xml:space="preserve"/>
      </w:r>
      <w:r w:rsidR="003C131B" w:rsidRPr="00A84153">
        <w:rPr>
          <w:rFonts w:ascii="Arial" w:cs="Arial" w:hAnsi="Arial"/>
          <w:color w:val="00A7AD"/>
          <w:sz w:val="22"/>
          <w:szCs w:val="22"/>
        </w:rPr>
        <w:instrText/>
      </w:r>
      <w:r w:rsidR="003C131B">
        <w:rPr>
          <w:rFonts w:ascii="Arial" w:cs="Arial" w:hAnsi="Arial"/>
          <w:caps/>
          <w:color w:val="00A7AD"/>
          <w:sz w:val="22"/>
          <w:szCs w:val="22"/>
        </w:rPr>
        <w:br/>
        <w:t xml:space="preserve">Existence d’un recours : </w:t>
      </w:r>
      <w:r w:rsidR="003C131B" w:rsidRPr="00D8536E">
        <w:rPr>
          <w:rFonts w:ascii="Arial" w:cs="Arial" w:hAnsi="Arial"/>
          <w:color w:val="auto"/>
          <w:sz w:val="22"/>
          <w:szCs w:val="22"/>
        </w:rPr>
        <w:t>Oui</w:t>
      </w:r>
      <w:r w:rsidR="003C131B" w:rsidRPr="00A84153">
        <w:rPr>
          <w:rFonts w:ascii="Arial" w:cs="Arial" w:hAnsi="Arial"/>
          <w:caps/>
          <w:color w:val="00A7AD"/>
          <w:sz w:val="22"/>
          <w:szCs w:val="22"/>
        </w:rPr>
        <w:instrText xml:space="preserve"/>
      </w:r>
      <w:r w:rsidR="00826FA5" w:rsidRPr="00A84153">
        <w:rPr>
          <w:rFonts w:ascii="Arial" w:cs="Arial" w:hAnsi="Arial"/>
          <w:color w:val="00A7AD"/>
          <w:sz w:val="22"/>
          <w:szCs w:val="22"/>
        </w:rPr>
        <w:instrText/>
      </w:r>
      <w:r w:rsidR="00826FA5">
        <w:rPr>
          <w:rFonts w:ascii="Arial" w:cs="Arial" w:hAnsi="Arial"/>
          <w:caps/>
          <w:color w:val="00A7AD"/>
          <w:sz w:val="22"/>
          <w:szCs w:val="22"/>
        </w:rPr>
        <w:br/>
        <w:t xml:space="preserve">Date de décision : </w:t>
      </w:r>
      <w:r w:rsidR="00826FA5" w:rsidRPr="00A84153">
        <w:rPr>
          <w:rFonts w:ascii="Arial" w:cs="Arial" w:hAnsi="Arial"/>
          <w:color w:themeColor="text1" w:val="000000"/>
          <w:sz w:val="22"/>
          <w:szCs w:val="20"/>
        </w:rPr>
        <w:instrText>27/06/2016</w:instrText>
      </w:r>
      <w:r w:rsidR="00826FA5"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042AA6">
        <w:rPr>
          <w:rFonts w:ascii="Arial" w:cs="Arial" w:hAnsi="Arial"/>
          <w:caps/>
          <w:color w:val="00A7AD"/>
          <w:sz w:val="22"/>
          <w:szCs w:val="22"/>
        </w:rPr>
        <w:br/>
      </w:r>
      <w:r>
        <w:rPr>
          <w:rFonts w:ascii="Arial" w:cs="Arial" w:hAnsi="Arial"/>
          <w:caps/>
          <w:color w:val="00A7AD"/>
          <w:sz w:val="22"/>
          <w:szCs w:val="22"/>
        </w:rPr>
        <w:t xml:space="preserve">Sort du recours : </w:t>
      </w:r>
      <w:r w:rsidRPr="00A84153">
        <w:rPr>
          <w:rFonts w:ascii="Arial" w:cs="Arial" w:hAnsi="Arial"/>
          <w:color w:themeColor="text1" w:val="000000"/>
          <w:sz w:val="22"/>
          <w:szCs w:val="20"/>
        </w:rPr>
        <w:instrText>Pourvoi non admis</w:instrText>
      </w:r>
      <w:r w:rsidRPr="00A84153">
        <w:rPr>
          <w:rFonts w:ascii="Arial" w:cs="Arial" w:hAnsi="Arial"/>
          <w:caps/>
          <w:color w:val="00A7AD"/>
          <w:sz w:val="22"/>
          <w:szCs w:val="22"/>
        </w:rPr>
        <w:instrText xml:space="preserve"/>
      </w:r>
      <w:r w:rsidR="000C05FC" w:rsidRPr="00A84153">
        <w:rPr>
          <w:rFonts w:ascii="Arial" w:cs="Arial" w:hAnsi="Arial"/>
          <w:color w:val="00A7AD"/>
          <w:sz w:val="22"/>
          <w:szCs w:val="22"/>
        </w:rPr>
        <w:instrText/>
      </w:r>
      <w:r>
        <w:rPr>
          <w:rFonts w:ascii="Arial" w:cs="Arial" w:hAnsi="Arial"/>
          <w:color w:val="auto"/>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